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0B" w:rsidRPr="00A9041A" w:rsidRDefault="001C760B" w:rsidP="001C760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A9041A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</w:t>
      </w:r>
      <w:r w:rsidRPr="00A90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</w:t>
      </w:r>
    </w:p>
    <w:p w:rsidR="00C650E2" w:rsidRDefault="00C650E2" w:rsidP="007A5799">
      <w:pPr>
        <w:spacing w:after="20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650E2" w:rsidRPr="00C650E2" w:rsidRDefault="00C650E2" w:rsidP="007A5799">
      <w:pPr>
        <w:spacing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650E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C650E2" w:rsidRPr="00C650E2" w:rsidRDefault="00C650E2" w:rsidP="007A5799">
      <w:pPr>
        <w:spacing w:before="400" w:after="40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="00D25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некоторые решения</w:t>
      </w:r>
      <w:r w:rsidRPr="00C65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Правительства Кыргызской Республики </w:t>
      </w:r>
      <w:r w:rsidR="00597503" w:rsidRPr="005975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налоговой политики</w:t>
      </w:r>
    </w:p>
    <w:p w:rsidR="00C650E2" w:rsidRPr="00C650E2" w:rsidRDefault="00C650E2" w:rsidP="005E6B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</w:t>
      </w:r>
      <w:hyperlink r:id="rId7" w:anchor="st_85" w:history="1">
        <w:r w:rsidRPr="005E6B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85</w:t>
        </w:r>
      </w:hyperlink>
      <w:r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86" w:history="1">
        <w:r w:rsidRPr="005E6B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86</w:t>
        </w:r>
      </w:hyperlink>
      <w:r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</w:t>
      </w:r>
      <w:r w:rsid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034D" w:rsidRP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</w:t>
      </w:r>
      <w:hyperlink r:id="rId9" w:anchor="st_10" w:history="1">
        <w:r w:rsidR="0009034D" w:rsidRPr="000903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09034D" w:rsidRP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anchor="st_17" w:history="1">
        <w:r w:rsidR="0009034D" w:rsidRPr="000903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09034D" w:rsidRP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034D" w:rsidRP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9034D" w:rsidRPr="0009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</w:t>
      </w:r>
      <w:r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заполнения» от 22 апреля 2015 года № 234 следующие изменения: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приложение 4 «Отчет по акцизному налогу на импорт» (FORM STI-123-004)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9 «Подакцизные товары, не подлежащие обложению акцизом» (FORM STI-123-009) к Отчету по косвенным налогам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(FORM STI-123), утвержденным вышеуказанным постановлением, изложить согласно приложениям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постановлению;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Порядке заполнения и представления формы отчета по косвенным налогам, утвержденном вышеуказанным постановлением: 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пункты 70-77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«70. В ячейке 403 указывается итоговая сумма начисления акцизного налога на масла и другие продукты высокотемпературной перегонки каменноугольной смолы; аналогичные продукты, в которых масса ароматических составных частей превышает массу неароматических: бензол, для использования в качестве топлива, исчисленная согласно статье 37 Налогового кодекса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отражении данных в графе «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Облагаемый 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указывать объем масла и другие продукты высокотемпературной перегонки каменноугольной смолы; аналогичные продукты, в которых масса ароматических составных частей превышает массу неароматических: бензол, для использования в качестве топлива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71. В ячейке 404 указывается итоговая сумма начисления акцизного налога на газовый конденсат природный: газовый конденсат стабильной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плотности при 20 С Не более 650 кг/м3, но не более 850 кг/м3 и с содержанием серы не более 1,0мас% прочий, исчисленная согласно статье 37 Налогового кодекса Кыргызской Республики. При отражении данных в графе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благаемый 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газового конденсата природного: газового конденсата стабильной плотности при 20 С Не более 650 кг/м3, но не более 850 кг/м3 и с содержанием серы не более 1,0мас% прочий,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72. В ячейке 405 указывается итоговая сумма начисления акцизного налога на нефть сырую и нефтепродукты сырые, полученные из битуминозных материалов, исчисленная согласно статье 37 Налогового кодекса Кыргызской Республики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отражении данных в графе «О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благаемый объем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нефти сырой и нефтепродуктов сырых, полученных из битуминозных материалов,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73. В строке 406 указывается итоговая сумма начисления акцизного налога на бензины моторные, специальные, легкие и средние дистилляты; прочие бензины и дистилляты, исчисленная согласно статье 37 Налогового кодекса Кыргызской Республики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отражении данных в графе 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бензинов моторных, специальные, легкие и средние дистилляты; прочие бензины и дистилляты,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74. В строке 407 указывается итоговая сумма начисления акцизного налога на прочие нефтепродукты (</w:t>
      </w:r>
      <w:proofErr w:type="spellStart"/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биотопливо</w:t>
      </w:r>
      <w:proofErr w:type="spellEnd"/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топливо экологическое, смесь легких дистиллятов), исчисленная согласно статье 37 Налогового кодекса Кыргызской Республики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отражении данных в графе «О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благаемый объем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прочих нефтепродуктов (</w:t>
      </w:r>
      <w:proofErr w:type="spellStart"/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биотопливо</w:t>
      </w:r>
      <w:proofErr w:type="spellEnd"/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топливо экологическое, смесь легких дистиллятов)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строке 408 указывается итоговая сумма начисления акцизного налога на топливо для  реактивных двигателей, исчисленная согласно статье 37 Налогового кодекса Кыргызской Республики. При отражении данн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в графе 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топлива для  реактивных двигателей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строке 409 указывается итоговая сумма начисления акцизного налога на дизельное топливо, газойли, тяжелые дистилляты, исчисленная согласно статье 37 Налогового кодекса Кыргызской Республики.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отражении данных в графе «О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благаемый объем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дизельного топлива, газойли, тяжелые дистилляты 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строке 410 указывается итоговая сумма начисления акцизного налога на мазут, исчисленная согласно статье 37 Налогового кодекса Кыргызской Республики. При отражении данных в графе 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мазута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74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строке 411 указывается итоговая сумма начисления акцизного налога на масла смазочные, масла прочие исчисленная согласно статье 37 Налогового кодекса Кыргызской Республики.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отражении данных в графе 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масел смазочных, масла прочих 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83104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строке 412 указывается итоговая сумма начисления акцизного налога на прочие антидетонаторы на основе соединений свинца, используемым в тех же целях, что и нефтепродукты исчисленная согласно статье 37 Налогового кодекса Кыргызской Республики.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отражении данных в графе 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прочих антидетонаторов на основе соединений свинца, используемым в тех же целях, что и нефтепродукты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A45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строке 413 указывается итоговая сумма начисления акцизного налога на присадки к смазочным маслам, содержащие нефть или нефтепродукты, полученные из битуминозных пород исчисленная согласно статье 37 Налогового кодекса Кыргызской Республики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отражении данных в графе «О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благаемый объем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присадок к смазочным маслам, содержащие нефть или нефтепродукты, полученные из битуминозных пород следует указывать в тоннах.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75. В строке 420 указывается суммарный итог начисления акцизного налога, указанного в строках 401-413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. Итоговые значения графы «Облагаемый объем»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в соответствии с единицами измерения (</w:t>
      </w:r>
      <w:r w:rsidR="00A45BE6"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штуки,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штук, кг, </w:t>
      </w:r>
      <w:r w:rsidR="00A45BE6"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миллилитры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5BE6"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литры, тонны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76. Заполнение ячеек 421-423 раздела II </w:t>
      </w:r>
      <w:r w:rsidR="00A45BE6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«Депозит»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субъектом, осуществившим импорт сырья для производства подакцизных товаров на давальческой основе, с последующим экспортом подакцизной продукции за пределы Кыргызской Республики, в случаях, когда налогоплательщик, осуществляющий производство подакцизных товаров на давальческой основе, освобожден от уплаты акцизного налога.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В соответствии с нормами статьи 283 Налогового кодекса Кыргызской Республики налогоплательщиком акцизного налога является субъект, который производит, в том числе на давальческой основе, подакцизные товары на территории Кыргызской Республики и/или импортирует подакцизные товары на территорию Кыргызской Республики.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освобождения субъектов от уплаты акцизного налога в части производства подакцизных товаров на давальческой основе налогоплательщиком акцизного налога является владелец давальческого сырья.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77. При заполнении ячеек 421-423 следует указывать данные за отчетный месяц. В ячейке 421 отражаются суммы акцизного налога, внесенные на депозитный счет в течение отчетного периода. В ячейке 422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указываются суммы акциза, ранее внесенные на депозитный счет и по которым истек срок представления соответствующих документов, подтверждающих экспорт подакцизной продукции, и документы, подтверждающие экспорт не представлены. В ячейке 423 указываются суммы акциза, по которым в отчетном периоде представлены соответствующие документы, подтверждающие экспорт подакцизной продукции.</w:t>
      </w:r>
      <w:r w:rsidR="006E72A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91 после слова «в</w:t>
      </w:r>
      <w:r w:rsid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1000 штуках</w:t>
      </w:r>
      <w:r w:rsidR="006E72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словом «штуках</w:t>
      </w:r>
      <w:r w:rsidR="006E72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31044" w:rsidRPr="00831044" w:rsidRDefault="00831044" w:rsidP="00831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E87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шестой 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121 после слов «</w:t>
      </w:r>
      <w:r w:rsidR="00E87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изделий </w:t>
      </w:r>
      <w:r w:rsid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в» дополнить слова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«миллилитрах</w:t>
      </w:r>
      <w:r w:rsidR="00E87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83104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75F73" w:rsidRPr="00375F73" w:rsidRDefault="00375F73" w:rsidP="0037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налоговой отчетности по налогу на добавленную стоимость и акцизному налогу, 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их заполнения и представления»</w:t>
      </w: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июля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 № 491 следующе</w:t>
      </w: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75F73" w:rsidRPr="00375F73" w:rsidRDefault="00375F73" w:rsidP="0037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F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заполнения и представления отчета по налогу на добавленную стоимость, утвержденном вышеуказанным постановлением:</w:t>
      </w:r>
    </w:p>
    <w:p w:rsidR="00E92C01" w:rsidRPr="00E92C01" w:rsidRDefault="00E92C01" w:rsidP="00E92C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«2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>00-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Облагаемые поставки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подпункта 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45 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позицией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Pr="00E9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E92C01" w:rsidRPr="00E92C01" w:rsidRDefault="00E92C01" w:rsidP="00E92C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8514"/>
      </w:tblGrid>
      <w:tr w:rsidR="00E92C01" w:rsidRPr="00E92C01" w:rsidTr="00E92C01"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C01" w:rsidRDefault="00E92C01" w:rsidP="00E92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EB9" w:rsidRPr="00E92C01" w:rsidRDefault="00E92C01" w:rsidP="00E92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EB9" w:rsidRPr="00E92C01" w:rsidRDefault="00E92C01" w:rsidP="00E92C0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Поставка транспортных средств, приводимых в движение только электрическим двигателем, производимых на предприятиях Кыргызской Республики</w:t>
            </w:r>
          </w:p>
        </w:tc>
      </w:tr>
    </w:tbl>
    <w:p w:rsidR="00E92C01" w:rsidRPr="00E92C01" w:rsidRDefault="00E92C01" w:rsidP="00E92C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650E2" w:rsidRPr="00C650E2" w:rsidRDefault="00375F73" w:rsidP="00C65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650E2"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</w:t>
      </w:r>
      <w:hyperlink r:id="rId11" w:history="1">
        <w:r w:rsidR="00C650E2" w:rsidRPr="00C650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C650E2"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8755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50E2"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отчетности и порядков их заполнения и представления</w:t>
      </w:r>
      <w:r w:rsidR="008755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650E2"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9 октября 2015 года № 699 следующие изменения:</w:t>
      </w:r>
    </w:p>
    <w:p w:rsidR="00C650E2" w:rsidRPr="00C650E2" w:rsidRDefault="00C650E2" w:rsidP="00C650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0E2">
        <w:rPr>
          <w:rFonts w:ascii="Times New Roman" w:hAnsi="Times New Roman" w:cs="Times New Roman"/>
          <w:sz w:val="28"/>
          <w:szCs w:val="28"/>
        </w:rPr>
        <w:t>- форму отчета по роялти субъекта малого предпринимательства (</w:t>
      </w:r>
      <w:hyperlink r:id="rId12" w:anchor="pr9" w:history="1">
        <w:r w:rsidRPr="00C650E2">
          <w:rPr>
            <w:rFonts w:ascii="Times New Roman" w:hAnsi="Times New Roman" w:cs="Times New Roman"/>
            <w:sz w:val="28"/>
            <w:szCs w:val="28"/>
          </w:rPr>
          <w:t>FORM STI-135</w:t>
        </w:r>
      </w:hyperlink>
      <w:r w:rsidRPr="00C650E2">
        <w:rPr>
          <w:rFonts w:ascii="Times New Roman" w:hAnsi="Times New Roman" w:cs="Times New Roman"/>
          <w:sz w:val="28"/>
          <w:szCs w:val="28"/>
        </w:rPr>
        <w:t>)</w:t>
      </w:r>
      <w:r w:rsidR="00845DBE">
        <w:rPr>
          <w:rFonts w:ascii="Times New Roman" w:hAnsi="Times New Roman" w:cs="Times New Roman"/>
          <w:sz w:val="28"/>
          <w:szCs w:val="28"/>
        </w:rPr>
        <w:t>,</w:t>
      </w:r>
      <w:r w:rsidR="00845DBE" w:rsidRPr="00845DB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845DBE" w:rsidRPr="00845DBE">
        <w:rPr>
          <w:rFonts w:ascii="Times New Roman" w:hAnsi="Times New Roman" w:cs="Times New Roman"/>
          <w:sz w:val="28"/>
          <w:szCs w:val="28"/>
        </w:rPr>
        <w:t>утвержденную вышеуказанным постановлен</w:t>
      </w:r>
      <w:r w:rsidR="00845DBE">
        <w:rPr>
          <w:rFonts w:ascii="Times New Roman" w:hAnsi="Times New Roman" w:cs="Times New Roman"/>
          <w:sz w:val="28"/>
          <w:szCs w:val="28"/>
        </w:rPr>
        <w:t>ием,</w:t>
      </w:r>
      <w:r w:rsidRPr="00C650E2">
        <w:rPr>
          <w:rFonts w:ascii="Times New Roman" w:hAnsi="Times New Roman" w:cs="Times New Roman"/>
          <w:sz w:val="28"/>
          <w:szCs w:val="28"/>
        </w:rPr>
        <w:t xml:space="preserve"> </w:t>
      </w:r>
      <w:r w:rsidR="00455F28" w:rsidRPr="00455F28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C650E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D769A">
        <w:rPr>
          <w:rFonts w:ascii="Times New Roman" w:hAnsi="Times New Roman" w:cs="Times New Roman"/>
          <w:sz w:val="28"/>
          <w:szCs w:val="28"/>
        </w:rPr>
        <w:t>3</w:t>
      </w:r>
      <w:r w:rsidR="00855F7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C650E2">
        <w:rPr>
          <w:rFonts w:ascii="Times New Roman" w:hAnsi="Times New Roman" w:cs="Times New Roman"/>
          <w:sz w:val="28"/>
          <w:szCs w:val="28"/>
        </w:rPr>
        <w:t>;</w:t>
      </w:r>
    </w:p>
    <w:p w:rsidR="00C650E2" w:rsidRPr="00C650E2" w:rsidRDefault="00C650E2" w:rsidP="00C650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0E2">
        <w:rPr>
          <w:rFonts w:ascii="Times New Roman" w:hAnsi="Times New Roman" w:cs="Times New Roman"/>
          <w:sz w:val="28"/>
          <w:szCs w:val="28"/>
        </w:rPr>
        <w:t>- форму отчета по роялти субъекта среднего предпринимательства (</w:t>
      </w:r>
      <w:hyperlink r:id="rId13" w:anchor="pr10" w:history="1">
        <w:r w:rsidRPr="00C650E2">
          <w:rPr>
            <w:rFonts w:ascii="Times New Roman" w:hAnsi="Times New Roman" w:cs="Times New Roman"/>
            <w:sz w:val="28"/>
            <w:szCs w:val="28"/>
          </w:rPr>
          <w:t>FORM STI-136</w:t>
        </w:r>
      </w:hyperlink>
      <w:r w:rsidRPr="00C650E2">
        <w:rPr>
          <w:rFonts w:ascii="Times New Roman" w:hAnsi="Times New Roman" w:cs="Times New Roman"/>
          <w:sz w:val="28"/>
          <w:szCs w:val="28"/>
        </w:rPr>
        <w:t>)</w:t>
      </w:r>
      <w:r w:rsidR="00845DBE">
        <w:rPr>
          <w:rFonts w:ascii="Times New Roman" w:hAnsi="Times New Roman" w:cs="Times New Roman"/>
          <w:sz w:val="28"/>
          <w:szCs w:val="28"/>
        </w:rPr>
        <w:t>,</w:t>
      </w:r>
      <w:r w:rsidR="00845DBE" w:rsidRPr="00845DB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845DBE" w:rsidRPr="00845DBE">
        <w:rPr>
          <w:rFonts w:ascii="Times New Roman" w:hAnsi="Times New Roman" w:cs="Times New Roman"/>
          <w:sz w:val="28"/>
          <w:szCs w:val="28"/>
        </w:rPr>
        <w:t>утвержденную вышеуказанным постановлен</w:t>
      </w:r>
      <w:r w:rsidR="00845DBE">
        <w:rPr>
          <w:rFonts w:ascii="Times New Roman" w:hAnsi="Times New Roman" w:cs="Times New Roman"/>
          <w:sz w:val="28"/>
          <w:szCs w:val="28"/>
        </w:rPr>
        <w:t>ием,</w:t>
      </w:r>
      <w:r w:rsidR="00845DBE" w:rsidRPr="00C650E2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455F28" w:rsidRPr="00455F28">
        <w:rPr>
          <w:rFonts w:ascii="Times New Roman" w:hAnsi="Times New Roman" w:cs="Times New Roman"/>
          <w:sz w:val="28"/>
          <w:szCs w:val="28"/>
        </w:rPr>
        <w:t xml:space="preserve"> </w:t>
      </w:r>
      <w:r w:rsidRPr="00C650E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D769A">
        <w:rPr>
          <w:rFonts w:ascii="Times New Roman" w:hAnsi="Times New Roman" w:cs="Times New Roman"/>
          <w:sz w:val="28"/>
          <w:szCs w:val="28"/>
        </w:rPr>
        <w:t>4</w:t>
      </w:r>
      <w:r w:rsidR="00855F7D" w:rsidRPr="00855F7D">
        <w:rPr>
          <w:rFonts w:ascii="Times New Roman" w:hAnsi="Times New Roman" w:cs="Times New Roman"/>
          <w:sz w:val="28"/>
          <w:szCs w:val="28"/>
        </w:rPr>
        <w:t xml:space="preserve"> </w:t>
      </w:r>
      <w:r w:rsidR="00855F7D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C650E2">
        <w:rPr>
          <w:rFonts w:ascii="Times New Roman" w:hAnsi="Times New Roman" w:cs="Times New Roman"/>
          <w:sz w:val="28"/>
          <w:szCs w:val="28"/>
        </w:rPr>
        <w:t>;</w:t>
      </w:r>
    </w:p>
    <w:p w:rsidR="00C650E2" w:rsidRPr="00C650E2" w:rsidRDefault="00C650E2" w:rsidP="00C650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0E2">
        <w:rPr>
          <w:rFonts w:ascii="Times New Roman" w:hAnsi="Times New Roman" w:cs="Times New Roman"/>
          <w:sz w:val="28"/>
          <w:szCs w:val="28"/>
        </w:rPr>
        <w:t>- форму отчета по роялти (за исключением субъекта малого, среднего предпринимательства) (</w:t>
      </w:r>
      <w:hyperlink r:id="rId14" w:anchor="pr11" w:history="1">
        <w:r w:rsidRPr="00C650E2">
          <w:rPr>
            <w:rFonts w:ascii="Times New Roman" w:hAnsi="Times New Roman" w:cs="Times New Roman"/>
            <w:sz w:val="28"/>
            <w:szCs w:val="28"/>
          </w:rPr>
          <w:t>FORM STI-137</w:t>
        </w:r>
      </w:hyperlink>
      <w:r w:rsidRPr="00C650E2">
        <w:rPr>
          <w:rFonts w:ascii="Times New Roman" w:hAnsi="Times New Roman" w:cs="Times New Roman"/>
          <w:sz w:val="28"/>
          <w:szCs w:val="28"/>
        </w:rPr>
        <w:t>)</w:t>
      </w:r>
      <w:r w:rsidR="00845DBE">
        <w:rPr>
          <w:rFonts w:ascii="Times New Roman" w:hAnsi="Times New Roman" w:cs="Times New Roman"/>
          <w:sz w:val="28"/>
          <w:szCs w:val="28"/>
        </w:rPr>
        <w:t>,</w:t>
      </w:r>
      <w:r w:rsidR="00845DBE" w:rsidRPr="00845DB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845DBE" w:rsidRPr="00845DBE">
        <w:rPr>
          <w:rFonts w:ascii="Times New Roman" w:hAnsi="Times New Roman" w:cs="Times New Roman"/>
          <w:sz w:val="28"/>
          <w:szCs w:val="28"/>
        </w:rPr>
        <w:t>утвержденную вышеуказанным постановлен</w:t>
      </w:r>
      <w:r w:rsidR="00845DBE">
        <w:rPr>
          <w:rFonts w:ascii="Times New Roman" w:hAnsi="Times New Roman" w:cs="Times New Roman"/>
          <w:sz w:val="28"/>
          <w:szCs w:val="28"/>
        </w:rPr>
        <w:t>ием,</w:t>
      </w:r>
      <w:r w:rsidR="00845DBE" w:rsidRPr="00C650E2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455F28" w:rsidRPr="00455F28">
        <w:rPr>
          <w:rFonts w:ascii="Times New Roman" w:hAnsi="Times New Roman" w:cs="Times New Roman"/>
          <w:sz w:val="28"/>
          <w:szCs w:val="28"/>
        </w:rPr>
        <w:t xml:space="preserve"> </w:t>
      </w:r>
      <w:r w:rsidRPr="00C650E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D769A">
        <w:rPr>
          <w:rFonts w:ascii="Times New Roman" w:hAnsi="Times New Roman" w:cs="Times New Roman"/>
          <w:sz w:val="28"/>
          <w:szCs w:val="28"/>
        </w:rPr>
        <w:t>5</w:t>
      </w:r>
      <w:r w:rsidR="00855F7D" w:rsidRPr="00855F7D">
        <w:rPr>
          <w:rFonts w:ascii="Times New Roman" w:hAnsi="Times New Roman" w:cs="Times New Roman"/>
          <w:sz w:val="28"/>
          <w:szCs w:val="28"/>
        </w:rPr>
        <w:t xml:space="preserve"> </w:t>
      </w:r>
      <w:r w:rsidR="00855F7D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C650E2">
        <w:rPr>
          <w:rFonts w:ascii="Times New Roman" w:hAnsi="Times New Roman" w:cs="Times New Roman"/>
          <w:sz w:val="28"/>
          <w:szCs w:val="28"/>
        </w:rPr>
        <w:t>;</w:t>
      </w:r>
    </w:p>
    <w:p w:rsidR="00C650E2" w:rsidRDefault="00C650E2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50E2">
        <w:rPr>
          <w:rFonts w:ascii="Times New Roman" w:hAnsi="Times New Roman" w:cs="Times New Roman"/>
          <w:sz w:val="28"/>
          <w:szCs w:val="28"/>
        </w:rPr>
        <w:t xml:space="preserve">в </w:t>
      </w:r>
      <w:hyperlink r:id="rId15" w:anchor="pr12" w:history="1">
        <w:r w:rsidR="00451BBC" w:rsidRPr="00451BB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451BBC" w:rsidRPr="00451BBC">
        <w:rPr>
          <w:rFonts w:ascii="Times New Roman" w:hAnsi="Times New Roman" w:cs="Times New Roman"/>
          <w:sz w:val="28"/>
          <w:szCs w:val="28"/>
        </w:rPr>
        <w:t xml:space="preserve"> заполнения и представления отчета по роялти (FORM STI-135, FORM STI-136 и FORM STI-137)</w:t>
      </w:r>
      <w:r w:rsidRPr="00C650E2">
        <w:rPr>
          <w:rFonts w:ascii="Times New Roman" w:hAnsi="Times New Roman" w:cs="Times New Roman"/>
          <w:sz w:val="28"/>
          <w:szCs w:val="28"/>
        </w:rPr>
        <w:t xml:space="preserve">, утвержденном вышеуказанным </w:t>
      </w:r>
      <w:hyperlink r:id="rId16" w:history="1">
        <w:r w:rsidRPr="00C650E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650E2">
        <w:rPr>
          <w:rFonts w:ascii="Times New Roman" w:hAnsi="Times New Roman" w:cs="Times New Roman"/>
          <w:sz w:val="28"/>
          <w:szCs w:val="28"/>
        </w:rPr>
        <w:t>:</w:t>
      </w:r>
    </w:p>
    <w:p w:rsidR="00467B34" w:rsidRDefault="005D0CC3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 24, 2</w:t>
      </w:r>
      <w:r w:rsidR="00467B34">
        <w:rPr>
          <w:rFonts w:ascii="Times New Roman" w:hAnsi="Times New Roman" w:cs="Times New Roman"/>
          <w:sz w:val="28"/>
          <w:szCs w:val="28"/>
        </w:rPr>
        <w:t>7,</w:t>
      </w:r>
      <w:r w:rsidR="006D5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28, 34</w:t>
      </w:r>
      <w:r w:rsidR="006D5B9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36, 40</w:t>
      </w:r>
      <w:r w:rsidR="006D5B9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47 цифры «074, 075, 076, 174, 175, 176, 224, 225, 226, 274, 275 и </w:t>
      </w:r>
      <w:r w:rsidR="00875593">
        <w:rPr>
          <w:rFonts w:ascii="Times New Roman" w:hAnsi="Times New Roman" w:cs="Times New Roman"/>
          <w:sz w:val="28"/>
          <w:szCs w:val="28"/>
        </w:rPr>
        <w:t>276»</w:t>
      </w:r>
      <w:r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467B34">
        <w:rPr>
          <w:rFonts w:ascii="Times New Roman" w:hAnsi="Times New Roman" w:cs="Times New Roman"/>
          <w:sz w:val="28"/>
          <w:szCs w:val="28"/>
        </w:rPr>
        <w:t>;</w:t>
      </w:r>
    </w:p>
    <w:p w:rsidR="005D0CC3" w:rsidRDefault="00467B34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пункт 26 изложить в следующей редакции:</w:t>
      </w:r>
    </w:p>
    <w:p w:rsidR="00E75EA0" w:rsidRDefault="00E75EA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«26. В ячейках 068, 071, 077, 080, 083, 086 и 089 указываются:</w:t>
      </w:r>
    </w:p>
    <w:p w:rsidR="00467B34" w:rsidRDefault="00E75EA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выручка без учета НДС и налога с продаж, полученная от реализации:</w:t>
      </w:r>
    </w:p>
    <w:p w:rsidR="00E75EA0" w:rsidRDefault="00E75EA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полезных ископаемых, за исключением металлосодержащих руд и концентратов биржевых металлов;</w:t>
      </w:r>
    </w:p>
    <w:p w:rsidR="00E75EA0" w:rsidRDefault="00E75EA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продукции, полученной в результате переработки полезных ископаемых.</w:t>
      </w:r>
    </w:p>
    <w:p w:rsidR="007D0AA7" w:rsidRDefault="00E75EA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D0AA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тоимость химически чистого металла, содержащегося в металлосодержащей руде или концентрате биржевого металла. </w:t>
      </w:r>
    </w:p>
    <w:p w:rsidR="0023357C" w:rsidRDefault="007D0AA7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стоимость химически чистого металла, содержащегося в металлосодержащей руде или концентрате биржевого металла, ниже выручки, полученной от реализации металлосодержащих руд и концентратов биржевых </w:t>
      </w:r>
      <w:r w:rsidR="008A6510">
        <w:rPr>
          <w:rFonts w:ascii="Times New Roman" w:hAnsi="Times New Roman" w:cs="Times New Roman"/>
          <w:sz w:val="28"/>
          <w:szCs w:val="28"/>
        </w:rPr>
        <w:t>металлов</w:t>
      </w:r>
      <w:r>
        <w:rPr>
          <w:rFonts w:ascii="Times New Roman" w:hAnsi="Times New Roman" w:cs="Times New Roman"/>
          <w:sz w:val="28"/>
          <w:szCs w:val="28"/>
        </w:rPr>
        <w:t>, то в качестве налоговой базы роялти применяется выручка, полученная от реализации металлосодержащих руд и концентратов биржевых металлов.</w:t>
      </w:r>
      <w:r w:rsidR="0023357C">
        <w:rPr>
          <w:rFonts w:ascii="Times New Roman" w:hAnsi="Times New Roman" w:cs="Times New Roman"/>
          <w:sz w:val="28"/>
          <w:szCs w:val="28"/>
        </w:rPr>
        <w:t>»;</w:t>
      </w:r>
    </w:p>
    <w:p w:rsidR="00F31E00" w:rsidRDefault="00F31E00" w:rsidP="00451B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34: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первый изложить в следующей редакции: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«34. В ячейках 068, 071, 077, 080, 083, 086 и 089 указываются: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выручка без учета НДС и налога с продаж, полученная от реализации: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полезных ископаемых, за исключением металлосодержащих руд и концентратов биржевых металлов;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продукции, полученной в результате переработки полезных ископаемых.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стоимость химически чистого металла, содержащегося в металлосодержащей руде или концентрате биржевого металла. </w:t>
      </w:r>
    </w:p>
    <w:p w:rsidR="00F31E00" w:rsidRDefault="00F31E00" w:rsidP="00F31E0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стоимость химически чистого металла, содержащегося в металлосодержащей руде или концентрате биржевого металла, ниже выручки, полученной от реализации металлосодержащих руд и концентратов биржевых металлов, то в качестве налоговой базы роялти применяется выручка, полученная от реализации металлосодержащих руд и концентратов биржевых металлов:»;</w:t>
      </w:r>
    </w:p>
    <w:p w:rsidR="00F31E00" w:rsidRDefault="0023357C" w:rsidP="0023357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E00">
        <w:rPr>
          <w:rFonts w:ascii="Times New Roman" w:hAnsi="Times New Roman" w:cs="Times New Roman"/>
          <w:sz w:val="28"/>
          <w:szCs w:val="28"/>
        </w:rPr>
        <w:t>2) абзац четыре исключить;</w:t>
      </w:r>
    </w:p>
    <w:p w:rsidR="00E75EA0" w:rsidRDefault="00F31E00" w:rsidP="0023357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357C">
        <w:rPr>
          <w:rFonts w:ascii="Times New Roman" w:hAnsi="Times New Roman" w:cs="Times New Roman"/>
          <w:sz w:val="28"/>
          <w:szCs w:val="28"/>
        </w:rPr>
        <w:t>абзац десять пункта 36 исключить.</w:t>
      </w:r>
    </w:p>
    <w:p w:rsidR="00DF2B11" w:rsidRDefault="00E92C01" w:rsidP="00C65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650E2" w:rsidRPr="00C6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716E" w:rsidRPr="008E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официального опубликования. </w:t>
      </w:r>
    </w:p>
    <w:p w:rsidR="008E716E" w:rsidRDefault="008E716E" w:rsidP="00C65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16E" w:rsidRDefault="008E716E" w:rsidP="00C65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11" w:rsidRPr="009808F8" w:rsidRDefault="00DF2B11" w:rsidP="00DF2B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DF2B11" w:rsidRPr="001B30F8" w:rsidRDefault="00DF2B11" w:rsidP="001B3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40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08F8"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D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</w:t>
      </w:r>
      <w:r w:rsidR="006E7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9D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  <w:r w:rsidRPr="00980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DF2B11" w:rsidRPr="001B30F8" w:rsidSect="009D7125">
      <w:footerReference w:type="default" r:id="rId1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9AD" w:rsidRDefault="00C309AD" w:rsidP="001C760B">
      <w:pPr>
        <w:spacing w:after="0" w:line="240" w:lineRule="auto"/>
      </w:pPr>
      <w:r>
        <w:separator/>
      </w:r>
    </w:p>
  </w:endnote>
  <w:endnote w:type="continuationSeparator" w:id="0">
    <w:p w:rsidR="00C309AD" w:rsidRDefault="00C309AD" w:rsidP="001C7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F8" w:rsidRDefault="001B30F8" w:rsidP="001C760B">
    <w:pPr>
      <w:pStyle w:val="tkTekst"/>
      <w:spacing w:after="0" w:line="240" w:lineRule="auto"/>
      <w:ind w:firstLine="0"/>
      <w:rPr>
        <w:rFonts w:ascii="Times New Roman" w:hAnsi="Times New Roman" w:cs="Times New Roman"/>
        <w:szCs w:val="28"/>
      </w:rPr>
    </w:pPr>
  </w:p>
  <w:p w:rsidR="001B30F8" w:rsidRDefault="001B30F8" w:rsidP="001C760B">
    <w:pPr>
      <w:pStyle w:val="tkTekst"/>
      <w:spacing w:after="0" w:line="240" w:lineRule="auto"/>
      <w:ind w:firstLine="0"/>
      <w:rPr>
        <w:rFonts w:ascii="Times New Roman" w:hAnsi="Times New Roman" w:cs="Times New Roman"/>
        <w:szCs w:val="28"/>
      </w:rPr>
    </w:pPr>
  </w:p>
  <w:p w:rsidR="001C760B" w:rsidRPr="001B30F8" w:rsidRDefault="001C760B" w:rsidP="001C760B">
    <w:pPr>
      <w:pStyle w:val="tkTekst"/>
      <w:spacing w:after="0" w:line="240" w:lineRule="auto"/>
      <w:ind w:firstLine="0"/>
      <w:rPr>
        <w:rFonts w:ascii="Times New Roman" w:hAnsi="Times New Roman" w:cs="Times New Roman"/>
        <w:szCs w:val="28"/>
      </w:rPr>
    </w:pPr>
    <w:r w:rsidRPr="001B30F8">
      <w:rPr>
        <w:rFonts w:ascii="Times New Roman" w:hAnsi="Times New Roman" w:cs="Times New Roman"/>
        <w:szCs w:val="28"/>
      </w:rPr>
      <w:t>Министр_______________________</w:t>
    </w:r>
    <w:proofErr w:type="spellStart"/>
    <w:r w:rsidRPr="001B30F8">
      <w:rPr>
        <w:rFonts w:ascii="Times New Roman" w:hAnsi="Times New Roman" w:cs="Times New Roman"/>
        <w:szCs w:val="28"/>
      </w:rPr>
      <w:t>С.Т.Муканбетов</w:t>
    </w:r>
    <w:proofErr w:type="spellEnd"/>
  </w:p>
  <w:p w:rsidR="001C760B" w:rsidRPr="001B30F8" w:rsidRDefault="001C760B" w:rsidP="001C760B">
    <w:pPr>
      <w:pStyle w:val="tkTekst"/>
      <w:spacing w:after="0" w:line="240" w:lineRule="auto"/>
      <w:ind w:firstLine="709"/>
      <w:rPr>
        <w:rFonts w:ascii="Times New Roman" w:hAnsi="Times New Roman" w:cs="Times New Roman"/>
        <w:sz w:val="22"/>
        <w:szCs w:val="28"/>
      </w:rPr>
    </w:pPr>
    <w:r w:rsidRPr="001B30F8">
      <w:rPr>
        <w:rFonts w:ascii="Times New Roman" w:hAnsi="Times New Roman" w:cs="Times New Roman"/>
        <w:szCs w:val="28"/>
      </w:rPr>
      <w:t>«____»_______________2020г.</w:t>
    </w:r>
  </w:p>
  <w:p w:rsidR="001C760B" w:rsidRPr="001B30F8" w:rsidRDefault="001C760B" w:rsidP="001C760B">
    <w:pPr>
      <w:pStyle w:val="tkTekst"/>
      <w:spacing w:after="0" w:line="240" w:lineRule="auto"/>
      <w:ind w:firstLine="0"/>
      <w:rPr>
        <w:rFonts w:ascii="Times New Roman" w:hAnsi="Times New Roman" w:cs="Times New Roman"/>
        <w:szCs w:val="28"/>
      </w:rPr>
    </w:pPr>
    <w:r w:rsidRPr="001B30F8">
      <w:rPr>
        <w:rFonts w:ascii="Times New Roman" w:hAnsi="Times New Roman" w:cs="Times New Roman"/>
        <w:szCs w:val="28"/>
      </w:rPr>
      <w:t xml:space="preserve">Начальник управления правовой поддержки и экспертизы </w:t>
    </w:r>
    <w:proofErr w:type="spellStart"/>
    <w:r w:rsidRPr="001B30F8">
      <w:rPr>
        <w:rFonts w:ascii="Times New Roman" w:hAnsi="Times New Roman" w:cs="Times New Roman"/>
        <w:szCs w:val="28"/>
      </w:rPr>
      <w:t>М.Жуманова</w:t>
    </w:r>
    <w:proofErr w:type="spellEnd"/>
    <w:r w:rsidRPr="001B30F8">
      <w:rPr>
        <w:rFonts w:ascii="Times New Roman" w:hAnsi="Times New Roman" w:cs="Times New Roman"/>
        <w:szCs w:val="28"/>
      </w:rPr>
      <w:t>___________</w:t>
    </w:r>
  </w:p>
  <w:p w:rsidR="001C760B" w:rsidRPr="001B30F8" w:rsidRDefault="001C760B" w:rsidP="001C760B">
    <w:pPr>
      <w:pStyle w:val="tkTekst"/>
      <w:spacing w:after="0" w:line="240" w:lineRule="auto"/>
      <w:ind w:firstLine="0"/>
      <w:rPr>
        <w:rFonts w:ascii="Times New Roman" w:hAnsi="Times New Roman" w:cs="Times New Roman"/>
        <w:szCs w:val="28"/>
      </w:rPr>
    </w:pPr>
  </w:p>
  <w:p w:rsidR="001C760B" w:rsidRDefault="001C76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9AD" w:rsidRDefault="00C309AD" w:rsidP="001C760B">
      <w:pPr>
        <w:spacing w:after="0" w:line="240" w:lineRule="auto"/>
      </w:pPr>
      <w:r>
        <w:separator/>
      </w:r>
    </w:p>
  </w:footnote>
  <w:footnote w:type="continuationSeparator" w:id="0">
    <w:p w:rsidR="00C309AD" w:rsidRDefault="00C309AD" w:rsidP="001C7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61"/>
    <w:rsid w:val="00010338"/>
    <w:rsid w:val="00040870"/>
    <w:rsid w:val="0009034D"/>
    <w:rsid w:val="001B30F8"/>
    <w:rsid w:val="001C760B"/>
    <w:rsid w:val="0023357C"/>
    <w:rsid w:val="00375F73"/>
    <w:rsid w:val="00381658"/>
    <w:rsid w:val="00437561"/>
    <w:rsid w:val="00451BBC"/>
    <w:rsid w:val="00455F28"/>
    <w:rsid w:val="00467B34"/>
    <w:rsid w:val="00597503"/>
    <w:rsid w:val="005D0CC3"/>
    <w:rsid w:val="005E6BA4"/>
    <w:rsid w:val="006D5B9F"/>
    <w:rsid w:val="006E70D4"/>
    <w:rsid w:val="006E72A8"/>
    <w:rsid w:val="007A5799"/>
    <w:rsid w:val="007D0AA7"/>
    <w:rsid w:val="00831044"/>
    <w:rsid w:val="00842EB9"/>
    <w:rsid w:val="00845DBE"/>
    <w:rsid w:val="00855F7D"/>
    <w:rsid w:val="00864171"/>
    <w:rsid w:val="00875593"/>
    <w:rsid w:val="008A6510"/>
    <w:rsid w:val="008E716E"/>
    <w:rsid w:val="009808F8"/>
    <w:rsid w:val="009D7125"/>
    <w:rsid w:val="009D769A"/>
    <w:rsid w:val="00A45BE6"/>
    <w:rsid w:val="00A6160D"/>
    <w:rsid w:val="00A65385"/>
    <w:rsid w:val="00B3729A"/>
    <w:rsid w:val="00C02BA1"/>
    <w:rsid w:val="00C309AD"/>
    <w:rsid w:val="00C650E2"/>
    <w:rsid w:val="00D25A45"/>
    <w:rsid w:val="00DF2B11"/>
    <w:rsid w:val="00E5336D"/>
    <w:rsid w:val="00E75EA0"/>
    <w:rsid w:val="00E8737F"/>
    <w:rsid w:val="00E92C01"/>
    <w:rsid w:val="00F31E00"/>
    <w:rsid w:val="00FE7BCC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650E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650E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650E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50E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650E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650E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C7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60B"/>
  </w:style>
  <w:style w:type="paragraph" w:styleId="a6">
    <w:name w:val="footer"/>
    <w:basedOn w:val="a"/>
    <w:link w:val="a7"/>
    <w:uiPriority w:val="99"/>
    <w:unhideWhenUsed/>
    <w:rsid w:val="001C7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650E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650E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650E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50E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650E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650E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C7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60B"/>
  </w:style>
  <w:style w:type="paragraph" w:styleId="a6">
    <w:name w:val="footer"/>
    <w:basedOn w:val="a"/>
    <w:link w:val="a7"/>
    <w:uiPriority w:val="99"/>
    <w:unhideWhenUsed/>
    <w:rsid w:val="001C7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0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file:///C:\Users\&#1043;&#1053;&#1057;\AppData\Local\Temp\Toktom\f3c7d425-8a1f-4c1d-b5a6-e01351248e3c\document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file:///C:\Users\&#1043;&#1053;&#1057;\AppData\Local\Temp\Toktom\f3c7d425-8a1f-4c1d-b5a6-e01351248e3c\document.htm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toktom://db/13243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32438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43;&#1053;&#1057;\AppData\Local\Temp\Toktom\72540847-4cf2-48c7-b511-131e2e1caafc\document.htm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file:///C:\Users\&#1043;&#1053;&#1057;\AppData\Local\Temp\Toktom\f3c7d425-8a1f-4c1d-b5a6-e01351248e3c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Мирзат АММ. Алиев</cp:lastModifiedBy>
  <cp:revision>13</cp:revision>
  <cp:lastPrinted>2020-10-14T10:48:00Z</cp:lastPrinted>
  <dcterms:created xsi:type="dcterms:W3CDTF">2020-09-01T10:44:00Z</dcterms:created>
  <dcterms:modified xsi:type="dcterms:W3CDTF">2020-10-14T10:54:00Z</dcterms:modified>
</cp:coreProperties>
</file>